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D2" w:rsidRDefault="005E4DD2" w:rsidP="005E4DD2">
      <w:pPr>
        <w:ind w:left="-15" w:right="63"/>
        <w:jc w:val="center"/>
        <w:rPr>
          <w:b/>
          <w:bCs/>
        </w:rPr>
      </w:pPr>
      <w:r w:rsidRPr="005E4DD2">
        <w:rPr>
          <w:b/>
          <w:bCs/>
        </w:rPr>
        <w:t xml:space="preserve">Аннотация к </w:t>
      </w:r>
      <w:proofErr w:type="gramStart"/>
      <w:r w:rsidRPr="005E4DD2">
        <w:rPr>
          <w:b/>
          <w:bCs/>
        </w:rPr>
        <w:t>рабочей  программе</w:t>
      </w:r>
      <w:proofErr w:type="gramEnd"/>
      <w:r w:rsidRPr="005E4DD2">
        <w:rPr>
          <w:b/>
          <w:bCs/>
        </w:rPr>
        <w:t xml:space="preserve"> </w:t>
      </w:r>
    </w:p>
    <w:p w:rsidR="005E4DD2" w:rsidRDefault="005E4DD2" w:rsidP="005E4DD2">
      <w:pPr>
        <w:ind w:left="-15" w:right="63"/>
        <w:jc w:val="center"/>
        <w:rPr>
          <w:b/>
          <w:bCs/>
        </w:rPr>
      </w:pPr>
      <w:proofErr w:type="gramStart"/>
      <w:r w:rsidRPr="005E4DD2">
        <w:rPr>
          <w:b/>
          <w:bCs/>
        </w:rPr>
        <w:t>курса  внеурочной</w:t>
      </w:r>
      <w:proofErr w:type="gramEnd"/>
      <w:r w:rsidRPr="005E4DD2">
        <w:rPr>
          <w:b/>
          <w:bCs/>
        </w:rPr>
        <w:t xml:space="preserve"> деятельности</w:t>
      </w:r>
    </w:p>
    <w:p w:rsidR="005E4DD2" w:rsidRPr="005E4DD2" w:rsidRDefault="005E4DD2" w:rsidP="005E4DD2">
      <w:pPr>
        <w:ind w:left="-15" w:right="63"/>
        <w:jc w:val="center"/>
        <w:rPr>
          <w:b/>
          <w:bCs/>
        </w:rPr>
      </w:pPr>
      <w:r w:rsidRPr="005E4DD2">
        <w:rPr>
          <w:b/>
          <w:bCs/>
        </w:rPr>
        <w:t xml:space="preserve"> «</w:t>
      </w:r>
      <w:r w:rsidR="00FD56AA">
        <w:rPr>
          <w:b/>
          <w:bCs/>
        </w:rPr>
        <w:t>Моя Россия – Мои горизонты</w:t>
      </w:r>
      <w:r w:rsidRPr="005E4DD2">
        <w:rPr>
          <w:b/>
          <w:bCs/>
        </w:rPr>
        <w:t>»</w:t>
      </w:r>
    </w:p>
    <w:p w:rsidR="005E4DD2" w:rsidRDefault="005E4DD2" w:rsidP="005E4DD2">
      <w:pPr>
        <w:ind w:left="-15" w:right="63"/>
      </w:pPr>
    </w:p>
    <w:p w:rsidR="00FD56AA" w:rsidRDefault="00FD56AA" w:rsidP="00FD56AA">
      <w:pPr>
        <w:ind w:firstLine="0"/>
      </w:pPr>
      <w:r>
        <w:t>Р</w:t>
      </w:r>
      <w:r>
        <w:t>абочая программа курса внеурочной деятельности «</w:t>
      </w:r>
      <w:r>
        <w:t xml:space="preserve">Моя </w:t>
      </w:r>
      <w:r>
        <w:t xml:space="preserve">Россия – мои горизонты» составлена на основе: </w:t>
      </w:r>
    </w:p>
    <w:p w:rsidR="00FD56AA" w:rsidRDefault="00FD56AA" w:rsidP="00FD56AA">
      <w:pPr>
        <w:ind w:left="-13"/>
      </w:pPr>
      <w:r>
        <w:t>‒</w:t>
      </w:r>
      <w:r>
        <w:rPr>
          <w:rFonts w:ascii="Arial" w:eastAsia="Arial" w:hAnsi="Arial" w:cs="Arial"/>
        </w:rPr>
        <w:t xml:space="preserve"> </w:t>
      </w:r>
      <w:r>
        <w:t xml:space="preserve">Федерального закона от 29 декабря 2012 г. № 273-ФЗ «Об </w:t>
      </w:r>
      <w:proofErr w:type="gramStart"/>
      <w:r>
        <w:t>образовании  в</w:t>
      </w:r>
      <w:proofErr w:type="gramEnd"/>
      <w:r>
        <w:t xml:space="preserve"> Российской̆ Федерации», </w:t>
      </w:r>
    </w:p>
    <w:p w:rsidR="00FD56AA" w:rsidRDefault="00FD56AA" w:rsidP="00FD56AA">
      <w:pPr>
        <w:ind w:left="-13"/>
      </w:pPr>
      <w:r>
        <w:t>‒</w:t>
      </w:r>
      <w:r>
        <w:rPr>
          <w:rFonts w:ascii="Arial" w:eastAsia="Arial" w:hAnsi="Arial" w:cs="Arial"/>
        </w:rPr>
        <w:t xml:space="preserve"> </w:t>
      </w:r>
      <w:r>
        <w:t xml:space="preserve">Федерального закона от 24 июля 1998 г. № 124-ФЗ «Об основных гарантиях прав ребенка в Российской Федерации», </w:t>
      </w:r>
    </w:p>
    <w:p w:rsidR="00FD56AA" w:rsidRDefault="00FD56AA" w:rsidP="00FD56AA">
      <w:pPr>
        <w:ind w:left="-13"/>
      </w:pPr>
      <w:r>
        <w:t>‒</w:t>
      </w:r>
      <w:r>
        <w:rPr>
          <w:rFonts w:ascii="Arial" w:eastAsia="Arial" w:hAnsi="Arial" w:cs="Arial"/>
        </w:rPr>
        <w:t xml:space="preserve"> </w:t>
      </w:r>
      <w:r>
        <w:t xml:space="preserve">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FD56AA" w:rsidRDefault="00FD56AA" w:rsidP="00FD56AA">
      <w:pPr>
        <w:ind w:left="-13"/>
      </w:pPr>
      <w:r>
        <w:t>‒</w:t>
      </w:r>
      <w:r>
        <w:rPr>
          <w:rFonts w:ascii="Arial" w:eastAsia="Arial" w:hAnsi="Arial" w:cs="Arial"/>
        </w:rPr>
        <w:t xml:space="preserve"> </w:t>
      </w:r>
      <w:r>
        <w:t xml:space="preserve">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FD56AA" w:rsidRDefault="00FD56AA" w:rsidP="00FD56AA">
      <w:pPr>
        <w:ind w:left="-13"/>
      </w:pPr>
      <w:r>
        <w:t>‒</w:t>
      </w:r>
      <w:r>
        <w:rPr>
          <w:rFonts w:ascii="Arial" w:eastAsia="Arial" w:hAnsi="Arial" w:cs="Arial"/>
        </w:rPr>
        <w:t xml:space="preserve"> </w:t>
      </w:r>
      <w:r>
        <w:t xml:space="preserve">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 </w:t>
      </w:r>
    </w:p>
    <w:p w:rsidR="00FD56AA" w:rsidRDefault="00FD56AA" w:rsidP="00FD56AA">
      <w:pPr>
        <w:spacing w:after="189" w:line="259" w:lineRule="auto"/>
        <w:ind w:left="10" w:right="-6" w:hanging="10"/>
        <w:jc w:val="right"/>
      </w:pPr>
      <w:r>
        <w:t>‒</w:t>
      </w:r>
      <w:r>
        <w:rPr>
          <w:rFonts w:ascii="Arial" w:eastAsia="Arial" w:hAnsi="Arial" w:cs="Arial"/>
        </w:rPr>
        <w:t xml:space="preserve"> </w:t>
      </w:r>
      <w:r>
        <w:t xml:space="preserve">Федеральной образовательной программы среднего общего образования </w:t>
      </w:r>
    </w:p>
    <w:p w:rsidR="00FD56AA" w:rsidRDefault="00FD56AA" w:rsidP="00FD56AA">
      <w:pPr>
        <w:ind w:left="-13" w:firstLine="0"/>
      </w:pPr>
      <w:r>
        <w:t xml:space="preserve">(далее – ФОП СОО), утвержденной приказом Министерства просвещения Российской Федерации от 18 мая 2023 г. № 371, </w:t>
      </w:r>
    </w:p>
    <w:p w:rsidR="00FD56AA" w:rsidRDefault="00FD56AA" w:rsidP="00FD56AA">
      <w:pPr>
        <w:ind w:left="-13"/>
      </w:pPr>
      <w:r>
        <w:t>‒</w:t>
      </w:r>
      <w:r>
        <w:rPr>
          <w:rFonts w:ascii="Arial" w:eastAsia="Arial" w:hAnsi="Arial" w:cs="Arial"/>
        </w:rPr>
        <w:t xml:space="preserve"> </w:t>
      </w:r>
      <w:r>
        <w:t xml:space="preserve">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 </w:t>
      </w:r>
    </w:p>
    <w:p w:rsidR="00FD56AA" w:rsidRDefault="00FD56AA" w:rsidP="00FD56AA">
      <w:pPr>
        <w:ind w:left="-13"/>
      </w:pPr>
      <w:r>
        <w:t>‒</w:t>
      </w:r>
      <w:r>
        <w:rPr>
          <w:rFonts w:ascii="Arial" w:eastAsia="Arial" w:hAnsi="Arial" w:cs="Arial"/>
        </w:rPr>
        <w:t xml:space="preserve"> </w:t>
      </w:r>
      <w:r>
        <w:t xml:space="preserve">Методических рекомендаций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01 июня 2023 г.  № АБ-2324/05). </w:t>
      </w:r>
    </w:p>
    <w:p w:rsidR="00FD56AA" w:rsidRDefault="00FD56AA" w:rsidP="00FD56AA">
      <w:pPr>
        <w:ind w:left="-13"/>
      </w:pPr>
      <w:r>
        <w:t>В Стратегии развития воспитания в Российской Федерации на период  до 2025 года</w:t>
      </w:r>
      <w:r>
        <w:rPr>
          <w:vertAlign w:val="superscript"/>
        </w:rPr>
        <w:footnoteReference w:id="1"/>
      </w:r>
      <w:r>
        <w:t xml:space="preserve">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w:t>
      </w:r>
      <w:r>
        <w:lastRenderedPageBreak/>
        <w:t xml:space="preserve">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rsidR="00FD56AA" w:rsidRDefault="00FD56AA" w:rsidP="00FD56AA">
      <w:pPr>
        <w:ind w:left="-13"/>
      </w:pPr>
      <w:r>
        <w:t xml:space="preserve">Настоящая Программа разработана с целью реализации </w:t>
      </w:r>
      <w:proofErr w:type="gramStart"/>
      <w:r>
        <w:t>комплексной  и</w:t>
      </w:r>
      <w:proofErr w:type="gramEnd"/>
      <w:r>
        <w:t xml:space="preserve"> систематической профориентационной работы для обучающихся 6-11 классов  на основе апробированных материалов Всероссийского проекта «Билет в будущее» (далее – проект). </w:t>
      </w:r>
    </w:p>
    <w:p w:rsidR="00FD56AA" w:rsidRDefault="00FD56AA" w:rsidP="00FD56AA">
      <w:pPr>
        <w:ind w:left="-13"/>
      </w:pPr>
      <w:r>
        <w:t>В соответствии с письмом Министерства просвещения Российской Федерации от 05 июля 2022 г. № ТВ-1290/03 «О направлении методических рекомендаций»</w:t>
      </w:r>
      <w:r>
        <w:rPr>
          <w:vertAlign w:val="superscript"/>
        </w:rPr>
        <w:footnoteReference w:id="2"/>
      </w:r>
      <w:r>
        <w:t xml:space="preserve">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w:t>
      </w:r>
    </w:p>
    <w:p w:rsidR="00FD56AA" w:rsidRDefault="00FD56AA" w:rsidP="00FD56AA">
      <w:pPr>
        <w:ind w:left="-13"/>
      </w:pPr>
      <w:r>
        <w:t xml:space="preserve">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FD56AA" w:rsidRDefault="00FD56AA" w:rsidP="00FD56AA">
      <w:pPr>
        <w:ind w:left="-13"/>
      </w:pPr>
      <w:r>
        <w:t xml:space="preserve">На занятия, направленные на удовлетворение профориентационных интересов и потребностей обучающихся целесообразно отводить один академический </w:t>
      </w:r>
      <w:proofErr w:type="gramStart"/>
      <w:r>
        <w:t>час  (</w:t>
      </w:r>
      <w:proofErr w:type="gramEnd"/>
      <w:r>
        <w:t xml:space="preserve">далее – час) в неделю (34 часа в учебный год).  </w:t>
      </w:r>
    </w:p>
    <w:p w:rsidR="00FD56AA" w:rsidRDefault="00FD56AA" w:rsidP="00FD56AA">
      <w:pPr>
        <w:ind w:left="-13"/>
      </w:pPr>
      <w:r>
        <w:t xml:space="preserve">Содержание Программы учитывает системную модель содействия самоопределению обучающихся общеобразовательных организаций, </w:t>
      </w:r>
      <w:proofErr w:type="gramStart"/>
      <w:r>
        <w:t>основанную  на</w:t>
      </w:r>
      <w:proofErr w:type="gramEnd"/>
      <w:r>
        <w:t xml:space="preserve"> сочетании мотивационно-активизирующего, информационно-обучающего, практико-ориентированного и </w:t>
      </w:r>
      <w:proofErr w:type="spellStart"/>
      <w:r>
        <w:t>диагностико</w:t>
      </w:r>
      <w:proofErr w:type="spellEnd"/>
      <w:r>
        <w:t xml:space="preserve">-консультативного подходов  к формированию готовности к профессиональному самоопределению. </w:t>
      </w:r>
    </w:p>
    <w:p w:rsidR="00FD56AA" w:rsidRDefault="00FD56AA" w:rsidP="00FD56AA">
      <w:pPr>
        <w:ind w:left="-13"/>
      </w:pPr>
      <w:r>
        <w:t xml:space="preserve">Программа должна, в том числе, обеспечивать информированность обучающихся об особенностях различных сфер профессиональной деятельности,  в том числе с учетом имеющихся потребностей в </w:t>
      </w:r>
      <w:r>
        <w:lastRenderedPageBreak/>
        <w:t xml:space="preserve">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организациями. </w:t>
      </w:r>
    </w:p>
    <w:p w:rsidR="00FD56AA" w:rsidRDefault="00FD56AA" w:rsidP="00FD56AA">
      <w:pPr>
        <w:ind w:left="-13"/>
      </w:pPr>
      <w:r>
        <w:t xml:space="preserve">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 </w:t>
      </w:r>
    </w:p>
    <w:p w:rsidR="00FD56AA" w:rsidRDefault="00FD56AA" w:rsidP="00FD56AA">
      <w:pPr>
        <w:ind w:left="-13"/>
      </w:pPr>
      <w:r>
        <w:t xml:space="preserve">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 </w:t>
      </w:r>
    </w:p>
    <w:p w:rsidR="00FD56AA" w:rsidRDefault="00FD56AA" w:rsidP="00FD56AA">
      <w:pPr>
        <w:spacing w:after="0" w:line="240" w:lineRule="auto"/>
        <w:ind w:left="-13"/>
        <w:contextualSpacing/>
      </w:pPr>
      <w:r>
        <w:t xml:space="preserve">Часть занятий (не более 17 из 34 часов) может быть заменена на региональный компонент. 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согласованы с Фондом Гуманитарных Проектов (федеральным оператором реализации профориентационного минимума) и размещено на цифровом ресурсе федерального оператора. </w:t>
      </w:r>
    </w:p>
    <w:p w:rsidR="00FD56AA" w:rsidRDefault="00FD56AA" w:rsidP="00FD56AA">
      <w:pPr>
        <w:spacing w:after="0" w:line="240" w:lineRule="auto"/>
        <w:ind w:left="-13"/>
        <w:contextualSpacing/>
      </w:pPr>
      <w:r>
        <w:rPr>
          <w:b/>
        </w:rPr>
        <w:t>Цель:</w:t>
      </w:r>
      <w:r>
        <w:t xml:space="preserve"> формирование готовности к профессиональному самоопределению (далее – ГПС) обучающихся 6–11 классов общеобразовательных организаций.  </w:t>
      </w:r>
    </w:p>
    <w:p w:rsidR="00FD56AA" w:rsidRDefault="00FD56AA" w:rsidP="00FD56AA">
      <w:pPr>
        <w:spacing w:after="0" w:line="240" w:lineRule="auto"/>
        <w:ind w:left="711" w:firstLine="0"/>
        <w:contextualSpacing/>
      </w:pPr>
      <w:r>
        <w:rPr>
          <w:b/>
        </w:rPr>
        <w:t xml:space="preserve">Задачи:  </w:t>
      </w:r>
    </w:p>
    <w:p w:rsidR="00FD56AA" w:rsidRDefault="00FD56AA" w:rsidP="00FD56AA">
      <w:pPr>
        <w:tabs>
          <w:tab w:val="center" w:pos="1591"/>
          <w:tab w:val="center" w:pos="4182"/>
          <w:tab w:val="center" w:pos="6970"/>
          <w:tab w:val="right" w:pos="10270"/>
        </w:tabs>
        <w:spacing w:after="0" w:line="240" w:lineRule="auto"/>
        <w:ind w:right="-6" w:firstLine="0"/>
        <w:contextualSpacing/>
        <w:jc w:val="left"/>
      </w:pPr>
      <w:r>
        <w:rPr>
          <w:rFonts w:ascii="Calibri" w:eastAsia="Calibri" w:hAnsi="Calibri" w:cs="Calibri"/>
          <w:sz w:val="22"/>
        </w:rPr>
        <w:tab/>
      </w:r>
      <w:r>
        <w:t>‒</w:t>
      </w:r>
      <w:r>
        <w:rPr>
          <w:rFonts w:ascii="Arial" w:eastAsia="Arial" w:hAnsi="Arial" w:cs="Arial"/>
        </w:rPr>
        <w:t xml:space="preserve"> </w:t>
      </w:r>
      <w:r>
        <w:t xml:space="preserve">содействие </w:t>
      </w:r>
      <w:r>
        <w:tab/>
        <w:t xml:space="preserve">профессиональному </w:t>
      </w:r>
      <w:r>
        <w:tab/>
        <w:t xml:space="preserve">самоопределению обучающихся </w:t>
      </w:r>
    </w:p>
    <w:p w:rsidR="00FD56AA" w:rsidRDefault="00FD56AA" w:rsidP="00FD56AA">
      <w:pPr>
        <w:spacing w:after="0" w:line="240" w:lineRule="auto"/>
        <w:ind w:left="-13" w:firstLine="0"/>
        <w:contextualSpacing/>
      </w:pPr>
      <w:r>
        <w:t xml:space="preserve">общеобразовательных организаций; </w:t>
      </w:r>
    </w:p>
    <w:p w:rsidR="00FD56AA" w:rsidRDefault="00FD56AA" w:rsidP="00FD56AA">
      <w:pPr>
        <w:ind w:left="-13"/>
      </w:pPr>
      <w:r>
        <w:t>‒</w:t>
      </w:r>
      <w:r>
        <w:rPr>
          <w:rFonts w:ascii="Arial" w:eastAsia="Arial" w:hAnsi="Arial" w:cs="Arial"/>
        </w:rPr>
        <w:t xml:space="preserve"> </w:t>
      </w:r>
      <w:r>
        <w:t xml:space="preserve">формирование рекомендаций для обучающихся по построению индивидуальной образовательно-профессиональной траектории в </w:t>
      </w:r>
      <w:proofErr w:type="gramStart"/>
      <w:r>
        <w:t>зависимости  от</w:t>
      </w:r>
      <w:proofErr w:type="gramEnd"/>
      <w:r>
        <w:t xml:space="preserve"> уровня осознанности, интересов, способностей, доступных им возможностей; </w:t>
      </w:r>
    </w:p>
    <w:p w:rsidR="00FD56AA" w:rsidRDefault="00FD56AA" w:rsidP="00FD56AA">
      <w:pPr>
        <w:ind w:left="-13"/>
      </w:pPr>
      <w:r>
        <w:t>‒</w:t>
      </w:r>
      <w:r>
        <w:rPr>
          <w:rFonts w:ascii="Arial" w:eastAsia="Arial" w:hAnsi="Arial" w:cs="Arial"/>
        </w:rPr>
        <w:t xml:space="preserve"> </w:t>
      </w:r>
      <w:r>
        <w:t xml:space="preserve">информирование обучающихся о специфике рынка труда и системе профессионального образования (включая знакомство с </w:t>
      </w:r>
      <w:proofErr w:type="gramStart"/>
      <w:r>
        <w:t>перспективными  и</w:t>
      </w:r>
      <w:proofErr w:type="gramEnd"/>
      <w:r>
        <w:t xml:space="preserve"> востребованными профессиями и отраслями экономики РФ); </w:t>
      </w:r>
    </w:p>
    <w:p w:rsidR="00FD56AA" w:rsidRDefault="00FD56AA" w:rsidP="00FD56AA">
      <w:pPr>
        <w:ind w:left="-13"/>
      </w:pPr>
      <w:r>
        <w:t>‒</w:t>
      </w:r>
      <w:r>
        <w:rPr>
          <w:rFonts w:ascii="Arial" w:eastAsia="Arial" w:hAnsi="Arial" w:cs="Arial"/>
        </w:rPr>
        <w:t xml:space="preserve"> </w:t>
      </w:r>
      <w:r>
        <w:t xml:space="preserve">формирование у обучающихся навыков и умений  карьерной грамотности  и других компетенций, необходимых для осуществления всех этапов карьерной </w:t>
      </w:r>
      <w:proofErr w:type="spellStart"/>
      <w:r>
        <w:t>самонавигации</w:t>
      </w:r>
      <w:proofErr w:type="spellEnd"/>
      <w:r>
        <w:t xml:space="preserve">, приобретения и осмысления </w:t>
      </w:r>
      <w:proofErr w:type="spellStart"/>
      <w:r>
        <w:t>профориентационно</w:t>
      </w:r>
      <w:proofErr w:type="spellEnd"/>
      <w:r>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
    <w:p w:rsidR="00FD56AA" w:rsidRDefault="00FD56AA" w:rsidP="00FD56AA">
      <w:pPr>
        <w:ind w:left="-13"/>
      </w:pPr>
      <w:r>
        <w:t>‒</w:t>
      </w:r>
      <w:r>
        <w:rPr>
          <w:rFonts w:ascii="Arial" w:eastAsia="Arial" w:hAnsi="Arial" w:cs="Arial"/>
        </w:rPr>
        <w:t xml:space="preserve"> </w:t>
      </w:r>
      <w:r>
        <w:t xml:space="preserve">формирование ценностного отношения к труду как основному способу достижения жизненного благополучия, залогу его успешного </w:t>
      </w:r>
      <w:r>
        <w:lastRenderedPageBreak/>
        <w:t xml:space="preserve">профессионального самоопределения и ощущения уверенности в завтрашнем дне. </w:t>
      </w:r>
    </w:p>
    <w:p w:rsidR="00FD56AA" w:rsidRDefault="00FD56AA" w:rsidP="00FD56AA">
      <w:pPr>
        <w:ind w:left="-13" w:firstLine="0"/>
      </w:pPr>
      <w:r>
        <w:rPr>
          <w:b/>
        </w:rPr>
        <w:t xml:space="preserve">   </w:t>
      </w:r>
      <w:r>
        <w:t xml:space="preserve">Настоящая Программа является частью образовательных программ основного и среднего общего образования и состоит из: </w:t>
      </w:r>
    </w:p>
    <w:p w:rsidR="00FD56AA" w:rsidRDefault="00FD56AA" w:rsidP="00FD56AA">
      <w:pPr>
        <w:spacing w:after="0" w:line="240" w:lineRule="auto"/>
        <w:ind w:right="522" w:hanging="10"/>
        <w:contextualSpacing/>
        <w:jc w:val="center"/>
      </w:pPr>
      <w:r>
        <w:t>‒</w:t>
      </w:r>
      <w:r>
        <w:rPr>
          <w:rFonts w:ascii="Arial" w:eastAsia="Arial" w:hAnsi="Arial" w:cs="Arial"/>
        </w:rPr>
        <w:t xml:space="preserve"> </w:t>
      </w:r>
      <w:r>
        <w:t xml:space="preserve">планируемых результатов освоения курса внеурочной деятельности,  </w:t>
      </w:r>
    </w:p>
    <w:p w:rsidR="00FD56AA" w:rsidRDefault="00FD56AA" w:rsidP="00FD56AA">
      <w:pPr>
        <w:spacing w:after="0" w:line="240" w:lineRule="auto"/>
        <w:ind w:right="-1" w:firstLine="0"/>
        <w:contextualSpacing/>
      </w:pPr>
      <w:r>
        <w:t>‒</w:t>
      </w:r>
      <w:r>
        <w:rPr>
          <w:rFonts w:ascii="Arial" w:eastAsia="Arial" w:hAnsi="Arial" w:cs="Arial"/>
        </w:rPr>
        <w:t xml:space="preserve"> </w:t>
      </w:r>
      <w:r>
        <w:t xml:space="preserve">содержания курса внеурочной </w:t>
      </w:r>
      <w:r>
        <w:t>д</w:t>
      </w:r>
      <w:r>
        <w:t>еятельности, ‒</w:t>
      </w:r>
      <w:r>
        <w:rPr>
          <w:rFonts w:ascii="Arial" w:eastAsia="Arial" w:hAnsi="Arial" w:cs="Arial"/>
        </w:rPr>
        <w:t xml:space="preserve"> </w:t>
      </w:r>
      <w:r>
        <w:t xml:space="preserve">тематического планирования. </w:t>
      </w:r>
    </w:p>
    <w:p w:rsidR="00FD56AA" w:rsidRDefault="00FD56AA" w:rsidP="00FD56AA">
      <w:pPr>
        <w:spacing w:after="0" w:line="240" w:lineRule="auto"/>
        <w:ind w:left="-13" w:firstLine="0"/>
        <w:contextualSpacing/>
      </w:pPr>
      <w:r>
        <w:t xml:space="preserve">  </w:t>
      </w:r>
      <w:r>
        <w:t xml:space="preserve">Программа разработана с учетом </w:t>
      </w:r>
      <w:proofErr w:type="gramStart"/>
      <w:r>
        <w:t xml:space="preserve">преемственности </w:t>
      </w:r>
      <w:r>
        <w:t xml:space="preserve"> п</w:t>
      </w:r>
      <w:r>
        <w:t>рофориентационных</w:t>
      </w:r>
      <w:proofErr w:type="gramEnd"/>
      <w:r>
        <w:t xml:space="preserve"> задач при переходе обучающихся с 6 по 11 классы. </w:t>
      </w:r>
    </w:p>
    <w:p w:rsidR="00FD56AA" w:rsidRDefault="00FD56AA" w:rsidP="00FD56AA">
      <w:pPr>
        <w:ind w:left="-13"/>
      </w:pPr>
      <w:r>
        <w:t xml:space="preserve">Программа может быть реализована в работе с обучающимися 6-9 классов основного общего образования и 10-11 классов среднего общего образования. </w:t>
      </w:r>
    </w:p>
    <w:p w:rsidR="00FD56AA" w:rsidRDefault="00FD56AA" w:rsidP="00FD56AA">
      <w:pPr>
        <w:spacing w:after="186" w:line="259" w:lineRule="auto"/>
        <w:ind w:left="711" w:firstLine="0"/>
      </w:pPr>
      <w:r>
        <w:t xml:space="preserve">Программа рассчитана на 34 часа (ежегодно).  </w:t>
      </w:r>
    </w:p>
    <w:p w:rsidR="00FD56AA" w:rsidRDefault="00FD56AA" w:rsidP="00FD56AA">
      <w:pPr>
        <w:ind w:left="-13"/>
      </w:pPr>
      <w:r>
        <w:t xml:space="preserve">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w:t>
      </w:r>
      <w:proofErr w:type="spellStart"/>
      <w:r>
        <w:t>др</w:t>
      </w:r>
      <w:proofErr w:type="spellEnd"/>
      <w:r>
        <w:t>); рефлексивных занятий, моделирующих онлайн-</w:t>
      </w:r>
      <w:proofErr w:type="spellStart"/>
      <w:r>
        <w:t>профпроб</w:t>
      </w:r>
      <w:proofErr w:type="spellEnd"/>
      <w:r>
        <w:t xml:space="preserve"> в </w:t>
      </w:r>
      <w:proofErr w:type="spellStart"/>
      <w:r>
        <w:t>контентноинформационный</w:t>
      </w:r>
      <w:proofErr w:type="spellEnd"/>
      <w:r>
        <w:t xml:space="preserve"> комплекс «Конструктор будущего»</w:t>
      </w:r>
      <w:r>
        <w:rPr>
          <w:vertAlign w:val="superscript"/>
        </w:rPr>
        <w:footnoteReference w:id="3"/>
      </w:r>
      <w:r>
        <w:t xml:space="preserve"> на базе Платформы</w:t>
      </w:r>
      <w:r>
        <w:rPr>
          <w:vertAlign w:val="superscript"/>
        </w:rPr>
        <w:footnoteReference w:id="4"/>
      </w:r>
      <w:r>
        <w:t xml:space="preserve">. </w:t>
      </w:r>
    </w:p>
    <w:p w:rsidR="00FD56AA" w:rsidRDefault="00FD56AA" w:rsidP="00FD56AA">
      <w:pPr>
        <w:ind w:left="-13"/>
      </w:pPr>
      <w:r>
        <w:t>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 и психолога; конкурсы профориентационной направленности (в т.ч. чемпионаты «</w:t>
      </w:r>
      <w:proofErr w:type="spellStart"/>
      <w:r>
        <w:t>Абилимпикс</w:t>
      </w:r>
      <w:proofErr w:type="spellEnd"/>
      <w:r>
        <w:t xml:space="preserve">», «Профессионалы» и др.); занятия «Шоу профессий».  </w:t>
      </w:r>
    </w:p>
    <w:p w:rsidR="005E4DD2" w:rsidRDefault="005E4DD2" w:rsidP="00FD56AA">
      <w:pPr>
        <w:ind w:left="-15" w:right="63"/>
      </w:pPr>
    </w:p>
    <w:sectPr w:rsidR="005E4D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272" w:rsidRDefault="00222272" w:rsidP="00FD56AA">
      <w:pPr>
        <w:spacing w:after="0" w:line="240" w:lineRule="auto"/>
      </w:pPr>
      <w:r>
        <w:separator/>
      </w:r>
    </w:p>
  </w:endnote>
  <w:endnote w:type="continuationSeparator" w:id="0">
    <w:p w:rsidR="00222272" w:rsidRDefault="00222272" w:rsidP="00FD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272" w:rsidRDefault="00222272" w:rsidP="00FD56AA">
      <w:pPr>
        <w:spacing w:after="0" w:line="240" w:lineRule="auto"/>
      </w:pPr>
      <w:r>
        <w:separator/>
      </w:r>
    </w:p>
  </w:footnote>
  <w:footnote w:type="continuationSeparator" w:id="0">
    <w:p w:rsidR="00222272" w:rsidRDefault="00222272" w:rsidP="00FD56AA">
      <w:pPr>
        <w:spacing w:after="0" w:line="240" w:lineRule="auto"/>
      </w:pPr>
      <w:r>
        <w:continuationSeparator/>
      </w:r>
    </w:p>
  </w:footnote>
  <w:footnote w:id="1">
    <w:p w:rsidR="00FD56AA" w:rsidRDefault="00FD56AA" w:rsidP="00FD56AA">
      <w:pPr>
        <w:pStyle w:val="footnotedescription"/>
        <w:spacing w:line="292" w:lineRule="auto"/>
        <w:jc w:val="both"/>
      </w:pPr>
    </w:p>
  </w:footnote>
  <w:footnote w:id="2">
    <w:p w:rsidR="00FD56AA" w:rsidRDefault="00FD56AA" w:rsidP="00FD56AA">
      <w:pPr>
        <w:pStyle w:val="footnotedescription"/>
        <w:spacing w:line="243" w:lineRule="auto"/>
        <w:ind w:left="2" w:right="62"/>
        <w:jc w:val="both"/>
      </w:pPr>
    </w:p>
    <w:bookmarkStart w:id="0" w:name="_GoBack"/>
    <w:bookmarkEnd w:id="0"/>
  </w:footnote>
  <w:footnote w:id="3">
    <w:p w:rsidR="00FD56AA" w:rsidRDefault="00FD56AA" w:rsidP="00FD56AA">
      <w:pPr>
        <w:pStyle w:val="footnotedescription"/>
        <w:spacing w:after="2" w:line="275" w:lineRule="auto"/>
        <w:ind w:right="60"/>
        <w:jc w:val="both"/>
      </w:pPr>
      <w:bookmarkStart w:id="1" w:name="_GoBack"/>
      <w:bookmarkEnd w:id="1"/>
    </w:p>
  </w:footnote>
  <w:footnote w:id="4">
    <w:p w:rsidR="00FD56AA" w:rsidRDefault="00FD56AA" w:rsidP="00B71EEB">
      <w:pPr>
        <w:pStyle w:val="footnotedescription"/>
        <w:spacing w:line="271" w:lineRule="auto"/>
        <w:ind w:right="59"/>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821"/>
    <w:multiLevelType w:val="hybridMultilevel"/>
    <w:tmpl w:val="EDACA664"/>
    <w:lvl w:ilvl="0" w:tplc="D08296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B27A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FA03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4F1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AF5C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DE94F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2AD18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0A0C0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641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CF12F2"/>
    <w:multiLevelType w:val="hybridMultilevel"/>
    <w:tmpl w:val="2298942C"/>
    <w:lvl w:ilvl="0" w:tplc="E5E05E2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F69A5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630A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1AE01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1477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B4423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472C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EA450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962BF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61E57F4"/>
    <w:multiLevelType w:val="hybridMultilevel"/>
    <w:tmpl w:val="E04EB8D0"/>
    <w:lvl w:ilvl="0" w:tplc="A8F2BE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80BF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662B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0228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CBB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0136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32BC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ECC44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0EE7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D2"/>
    <w:rsid w:val="00222272"/>
    <w:rsid w:val="005E4DD2"/>
    <w:rsid w:val="00B71EEB"/>
    <w:rsid w:val="00FD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1887"/>
  <w15:chartTrackingRefBased/>
  <w15:docId w15:val="{A4E7BB58-055C-4E2D-A81A-C98C257E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D2"/>
    <w:pPr>
      <w:spacing w:after="31" w:line="254" w:lineRule="auto"/>
      <w:ind w:right="72"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FD56AA"/>
    <w:pPr>
      <w:spacing w:after="0" w:line="282"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FD56AA"/>
    <w:rPr>
      <w:rFonts w:ascii="Times New Roman" w:eastAsia="Times New Roman" w:hAnsi="Times New Roman" w:cs="Times New Roman"/>
      <w:color w:val="000000"/>
      <w:sz w:val="20"/>
      <w:lang w:eastAsia="ru-RU"/>
    </w:rPr>
  </w:style>
  <w:style w:type="character" w:customStyle="1" w:styleId="footnotemark">
    <w:name w:val="footnote mark"/>
    <w:hidden/>
    <w:rsid w:val="00FD56AA"/>
    <w:rPr>
      <w:rFonts w:ascii="Times New Roman" w:eastAsia="Times New Roman" w:hAnsi="Times New Roman" w:cs="Times New Roman"/>
      <w:color w:val="000000"/>
      <w:sz w:val="20"/>
      <w:vertAlign w:val="superscript"/>
    </w:rPr>
  </w:style>
  <w:style w:type="paragraph" w:styleId="a3">
    <w:name w:val="header"/>
    <w:basedOn w:val="a"/>
    <w:link w:val="a4"/>
    <w:uiPriority w:val="99"/>
    <w:unhideWhenUsed/>
    <w:rsid w:val="00FD56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56AA"/>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FD56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56AA"/>
    <w:rPr>
      <w:rFonts w:ascii="Times New Roman" w:eastAsia="Times New Roman" w:hAnsi="Times New Roman" w:cs="Times New Roman"/>
      <w:color w:val="000000"/>
      <w:sz w:val="28"/>
      <w:lang w:eastAsia="ru-RU"/>
    </w:rPr>
  </w:style>
  <w:style w:type="paragraph" w:styleId="a7">
    <w:name w:val="footnote text"/>
    <w:basedOn w:val="a"/>
    <w:link w:val="a8"/>
    <w:uiPriority w:val="99"/>
    <w:semiHidden/>
    <w:unhideWhenUsed/>
    <w:rsid w:val="00B71EEB"/>
    <w:pPr>
      <w:spacing w:after="0" w:line="240" w:lineRule="auto"/>
    </w:pPr>
    <w:rPr>
      <w:sz w:val="20"/>
      <w:szCs w:val="20"/>
    </w:rPr>
  </w:style>
  <w:style w:type="character" w:customStyle="1" w:styleId="a8">
    <w:name w:val="Текст сноски Знак"/>
    <w:basedOn w:val="a0"/>
    <w:link w:val="a7"/>
    <w:uiPriority w:val="99"/>
    <w:semiHidden/>
    <w:rsid w:val="00B71EEB"/>
    <w:rPr>
      <w:rFonts w:ascii="Times New Roman" w:eastAsia="Times New Roman" w:hAnsi="Times New Roman" w:cs="Times New Roman"/>
      <w:color w:val="000000"/>
      <w:sz w:val="20"/>
      <w:szCs w:val="20"/>
      <w:lang w:eastAsia="ru-RU"/>
    </w:rPr>
  </w:style>
  <w:style w:type="character" w:styleId="a9">
    <w:name w:val="footnote reference"/>
    <w:basedOn w:val="a0"/>
    <w:uiPriority w:val="99"/>
    <w:semiHidden/>
    <w:unhideWhenUsed/>
    <w:rsid w:val="00B71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0472D-B94D-4D74-AD37-9B81AA7E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Солнышко</cp:lastModifiedBy>
  <cp:revision>2</cp:revision>
  <dcterms:created xsi:type="dcterms:W3CDTF">2023-11-02T10:12:00Z</dcterms:created>
  <dcterms:modified xsi:type="dcterms:W3CDTF">2023-11-02T10:12:00Z</dcterms:modified>
</cp:coreProperties>
</file>